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F" w:rsidRPr="00E0657F" w:rsidRDefault="00E0657F" w:rsidP="00C71B2A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C71B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065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Муниципальное общеобразовательное учреждение</w:t>
      </w:r>
    </w:p>
    <w:p w:rsidR="00E0657F" w:rsidRPr="00E0657F" w:rsidRDefault="00E0657F" w:rsidP="00C71B2A">
      <w:pPr>
        <w:suppressAutoHyphens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E065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основная общеобразовательная школа с.Тамбовка</w:t>
      </w:r>
    </w:p>
    <w:p w:rsidR="00E0657F" w:rsidRPr="00E0657F" w:rsidRDefault="00E0657F" w:rsidP="00E0657F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338"/>
        <w:gridCol w:w="3454"/>
      </w:tblGrid>
      <w:tr w:rsidR="00E0657F" w:rsidRPr="00E0657F" w:rsidTr="00AB04C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Рассмотрено </w:t>
            </w:r>
          </w:p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на педагогическом совете            </w:t>
            </w:r>
          </w:p>
          <w:p w:rsidR="00E0657F" w:rsidRPr="00E0657F" w:rsidRDefault="00E0657F" w:rsidP="00E0657F">
            <w:pPr>
              <w:tabs>
                <w:tab w:val="left" w:pos="-240"/>
                <w:tab w:val="left" w:pos="120"/>
              </w:tabs>
              <w:suppressAutoHyphens/>
              <w:ind w:left="-360" w:firstLine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№  </w:t>
            </w:r>
            <w:r w:rsidR="005C13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0657F" w:rsidRPr="00E0657F" w:rsidRDefault="005959BC" w:rsidP="00E0657F">
            <w:pPr>
              <w:tabs>
                <w:tab w:val="left" w:pos="-240"/>
                <w:tab w:val="left" w:pos="120"/>
              </w:tabs>
              <w:suppressAutoHyphens/>
              <w:ind w:left="-360" w:firstLine="360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C2CEC">
              <w:rPr>
                <w:rFonts w:ascii="Times New Roman" w:eastAsia="Times New Roman" w:hAnsi="Times New Roman" w:cs="Times New Roman"/>
                <w:lang w:eastAsia="ar-SA"/>
              </w:rPr>
              <w:t xml:space="preserve">от 01.11. </w:t>
            </w:r>
            <w:r w:rsidR="007C2CEC" w:rsidRPr="00E0657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C2CEC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7C2CEC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bookmarkStart w:id="0" w:name="_GoBack"/>
            <w:bookmarkEnd w:id="0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F" w:rsidRPr="00E0657F" w:rsidRDefault="00E0657F" w:rsidP="00E976FB">
            <w:pPr>
              <w:tabs>
                <w:tab w:val="left" w:pos="-240"/>
                <w:tab w:val="left" w:pos="120"/>
              </w:tabs>
              <w:suppressAutoHyphens/>
              <w:ind w:left="-360" w:firstLine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976F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b/>
                <w:lang w:eastAsia="ar-SA"/>
              </w:rPr>
              <w:t>«Утверждено»</w:t>
            </w:r>
          </w:p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МОУ ООШ </w:t>
            </w:r>
            <w:proofErr w:type="spellStart"/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>с.Т</w:t>
            </w:r>
            <w:r w:rsidR="005959BC">
              <w:rPr>
                <w:rFonts w:ascii="Times New Roman" w:eastAsia="Times New Roman" w:hAnsi="Times New Roman" w:cs="Times New Roman"/>
                <w:lang w:eastAsia="ar-SA"/>
              </w:rPr>
              <w:t>амбовка</w:t>
            </w:r>
            <w:proofErr w:type="spellEnd"/>
            <w:r w:rsidR="005959B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5959B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9120" cy="510365"/>
                  <wp:effectExtent l="0" t="0" r="0" b="4445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40" cy="5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>Шамараева</w:t>
            </w:r>
            <w:proofErr w:type="spellEnd"/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 О.В.</w:t>
            </w:r>
          </w:p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>Приказ №</w:t>
            </w:r>
            <w:r w:rsidR="005C13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C2CEC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  <w:r w:rsidR="005C135C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5959BC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7C2CEC">
              <w:rPr>
                <w:rFonts w:ascii="Times New Roman" w:eastAsia="Times New Roman" w:hAnsi="Times New Roman" w:cs="Times New Roman"/>
                <w:lang w:eastAsia="ar-SA"/>
              </w:rPr>
              <w:t xml:space="preserve">01.11. </w:t>
            </w: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C71B2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Pr="00E0657F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  <w:p w:rsidR="00E0657F" w:rsidRPr="00E0657F" w:rsidRDefault="00E0657F" w:rsidP="00E0657F">
            <w:pPr>
              <w:tabs>
                <w:tab w:val="left" w:pos="9288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07215" w:rsidRPr="00007215" w:rsidRDefault="000D3193" w:rsidP="000D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                           </w:t>
      </w:r>
      <w:r w:rsidR="00007215" w:rsidRPr="00007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="00457953" w:rsidRPr="004579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</w:t>
      </w:r>
      <w:r w:rsidR="004579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закупки</w:t>
      </w:r>
      <w:r w:rsidR="0072697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</w:t>
      </w:r>
      <w:r w:rsidR="00007215" w:rsidRPr="00007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 xml:space="preserve">заполнения, учета и выдачи аттестатов об основном общем </w:t>
      </w:r>
      <w:r w:rsidR="00F11A47" w:rsidRPr="00C71B2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5C135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</w:t>
      </w:r>
      <w:r w:rsidR="00007215" w:rsidRPr="00007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образовании и их дубликатов</w:t>
      </w:r>
      <w:r w:rsidR="00007215" w:rsidRPr="0000721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</w:p>
    <w:p w:rsidR="00DB2C80" w:rsidRPr="00457953" w:rsidRDefault="00457953" w:rsidP="0045795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</w:t>
      </w:r>
      <w:r w:rsidR="00007215"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Общие положения</w:t>
      </w:r>
      <w:r w:rsidR="00DB2C80"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DB2C80" w:rsidRPr="00F11A47" w:rsidRDefault="00E976FB" w:rsidP="00F11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proofErr w:type="gramStart"/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Положение разработано в соответствии с п.17 ч.3 ст. 28, ч.4, ч.6. ст.60 Федерального закона от 29.12.2012 № 273-ФЗ "Об образовании в Российской Федерации», Приказа Министерства образования и науки РФ от 14 февраля 2014 г. N 115</w:t>
      </w:r>
      <w:r w:rsid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изменениями и дополнениями от:17 апреля</w:t>
      </w:r>
      <w:r w:rsidR="00DB2C80" w:rsidRPr="00F11A4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2014г N 329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F11A47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28 мая 2014 г. N 599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., 8 июня 2015 г. N 571, 31 мая 2016 г. N 643., </w:t>
      </w:r>
      <w:r w:rsidR="00F11A47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9 января 2017 г. N 3</w:t>
      </w:r>
      <w:r w:rsidR="00DB2C80" w:rsidRP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7E1AB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17деабря 2018г №315</w:t>
      </w:r>
    </w:p>
    <w:p w:rsidR="00E976FB" w:rsidRDefault="00E976FB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астоящее положение рассматривается на педагогическом совете и утверждается приказом директора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.</w:t>
      </w:r>
      <w:proofErr w:type="gramEnd"/>
    </w:p>
    <w:p w:rsidR="00007215" w:rsidRPr="00007215" w:rsidRDefault="00E976FB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Порядок </w:t>
      </w:r>
      <w:r w:rsid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закупки,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заполнения, учета и выдачи </w:t>
      </w:r>
      <w:hyperlink r:id="rId7" w:anchor="/multilink/70606186/paragraph/12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аттестатов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 основном общем </w:t>
      </w:r>
      <w:r w:rsid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образовании и их дубликатов (далее - Порядок) устанавливает требования к</w:t>
      </w:r>
      <w:r w:rsid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закупке,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заполнению и учету аттестатов об основном общем </w:t>
      </w:r>
      <w:r w:rsidR="00F11A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образовании (далее - аттестаты) и их дубликатов, а также правила выдачи аттестатов и их дубликатов.</w:t>
      </w:r>
    </w:p>
    <w:p w:rsidR="00007215" w:rsidRDefault="00E976FB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hyperlink r:id="rId8" w:anchor="/multilink/70606186/paragraph/13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Аттестаты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2 </w:t>
      </w: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</w:t>
      </w: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ab/>
        <w:t>Порядок закупки бл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анков документов об образовании</w:t>
      </w: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и </w:t>
      </w:r>
      <w:proofErr w:type="gramStart"/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контроля за</w:t>
      </w:r>
      <w:proofErr w:type="gramEnd"/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фактическими закупками и хранением бланков документов об образовании общеобразовательным   учреждением </w:t>
      </w:r>
    </w:p>
    <w:p w:rsidR="00457953" w:rsidRPr="00457953" w:rsidRDefault="00457953" w:rsidP="004579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МОУ ООШ </w:t>
      </w:r>
      <w:proofErr w:type="spell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.Т</w:t>
      </w:r>
      <w:proofErr w:type="gramEnd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амбовка</w:t>
      </w:r>
      <w:proofErr w:type="spellEnd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осуществляет закупку необходимых  бланков документов об образовании самостоятельно.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Закупку бланков документов об образовании следует производить на предприятиях - изготовителях защищенной полиграфической продукции. Выбор предприятия – изготовителя бланков документов об образовании осуществляется общеобразовательным учреждением  самостоятельно. Сведения о предприятиях-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изготовителях защищенной полиграфической продукции находятся на сайте ФНС России в разделе «Лицензии, разрешения, реестры». 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Закупка бланков документов об образовании должна осуществляться в соответствии с законодательством Российской Федерации, действующим в сфере закупок, а также в соответствии с Положением о закупке товаров, работ, услуг для нужд  общеобразовательного учреждения Федоровского муниципального района.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Для  общеобразовательного учреждения финансовое обеспечение закупки бланков документов об образовании осуществляется в пределах средств субсидии, передаваемому учреждению  на выполнение муниципального задания.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Руководителю общеобразовательного учреждения необходимо предоставлять в управление </w:t>
      </w:r>
      <w:proofErr w:type="gram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</w:t>
      </w:r>
      <w:proofErr w:type="gramEnd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следующие отчетные документы: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2.5.1.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в срок до 25 февраля  текущего года – Информацию о планируемой закупке бланков документов об образовании по форме, согласно Приложению 1 к настоящему Положению.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Информация о планируемой закупке бланков документов об образовании должна быть подписана руководителем общеобразовательного учреждения или лицом его заменяющим, содержать списки выпускников текущего учебного года, согласно формам 1,2 Приложения 1 к настоящему Положению. Количество закупки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2.5.2.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после осуществления каждой процедуры закупки бланков документов об образовании (в течение года) – Уведомление о фактической закупке бланков документов об образовании по форме, согласно Приложению 2 к настоящему Положению.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2.5.3.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ежеквартально, до 5 числа месяца, следующего за отчетным, по итогам года, до 10 января текущего года  - Отчет об использовании бланков документов об образовании по форме, согласно Приложению 3 к настоящему Положению.</w:t>
      </w:r>
      <w:proofErr w:type="gramEnd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отчету следует прикладывать копию приказа о выдаче документа об образовании по каждому уровню образования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нием копии вырезанных номеров. 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3.</w:t>
      </w:r>
      <w:r w:rsidRPr="0045795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ab/>
        <w:t>Учёт и хранение бла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нков документов об образовании 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Бланки документов об образовании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Помещения, сейфы, шкафы, где хранятся бланки аттестатов и приложений, должны быть закрыты на замки</w:t>
      </w:r>
      <w:proofErr w:type="gram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.</w:t>
      </w:r>
      <w:proofErr w:type="gramEnd"/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3.2. 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Передача закупленных общеобразовательным учреждением  бланков документов об образовании другим  учреждениям не допускается.</w:t>
      </w:r>
    </w:p>
    <w:p w:rsidR="00457953" w:rsidRPr="00457953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3.3. </w:t>
      </w: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Не использованные в текущем году бланки аттестатов и приложений, оставшиеся после выдачи аттестатов выпускникам, остаются в общеобразовательном учреждении.</w:t>
      </w:r>
    </w:p>
    <w:p w:rsidR="00457953" w:rsidRPr="00007215" w:rsidRDefault="00457953" w:rsidP="0045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3.4. Бланки аттестатов и приложений, испорченные при заполнении, подлежат списанию и уничтожению по решению создаваемой в общеобразовательном учреждении комиссии под председательством руководителя общеобразовательной организации. Комиссия составляет а</w:t>
      </w:r>
      <w:proofErr w:type="gramStart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кт в дв</w:t>
      </w:r>
      <w:proofErr w:type="gramEnd"/>
      <w:r w:rsidRPr="004579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остается в общеобразовательном учреждении, второй экземпляр с копией вырезанных номеров аттестатов представляется в  управление образования.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Заполнение бланков аттестатов и приложений к ним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9" w:anchor="/multilink/70606186/paragraph/266/number/0" w:history="1">
        <w:proofErr w:type="gramStart"/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Бланки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титула аттестата и </w:t>
      </w:r>
      <w:hyperlink r:id="rId10" w:anchor="/multilink/70606186/paragraph/266/number/1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Times</w:t>
      </w:r>
      <w:proofErr w:type="spell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New</w:t>
      </w:r>
      <w:proofErr w:type="spell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Roman</w:t>
      </w:r>
      <w:proofErr w:type="spell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007215" w:rsidRPr="00007215" w:rsidRDefault="007C2CEC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11" w:anchor="/multilink/70606186/paragraph/394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Бланки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r:id="rId12" w:anchor="/document/70606186/entry/1111" w:history="1"/>
      <w:proofErr w:type="gramStart"/>
      <w:r w:rsid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При заполнении </w:t>
      </w:r>
      <w:hyperlink r:id="rId13" w:anchor="/multilink/70606186/paragraph/17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бланка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титула аттестата: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В левой части </w:t>
      </w:r>
      <w:hyperlink r:id="rId14" w:anchor="/multilink/70606186/paragraph/18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оборотной стороны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11A47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В правой части </w:t>
      </w:r>
      <w:hyperlink r:id="rId15" w:anchor="/multilink/70606186/paragraph/19/number/0" w:history="1">
        <w:r w:rsidR="00007215" w:rsidRPr="00F11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оборотной стороны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бланка титула аттестата указываются следующие сведения: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в) после строки, содержащей надпись "в году окончи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л(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девиантным</w:t>
      </w:r>
      <w:proofErr w:type="spell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девиантным</w:t>
      </w:r>
      <w:proofErr w:type="spell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(общественно опасным) поведением";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При заполнении бланка </w:t>
      </w:r>
      <w:hyperlink r:id="rId16" w:anchor="/multilink/70606186/paragraph/29/number/0" w:history="1">
        <w:r w:rsidR="00007215" w:rsidRPr="002B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аттестату об основном общем/среднем общем образовании (далее - бланк приложения):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В правой части </w:t>
      </w:r>
      <w:hyperlink r:id="rId17" w:anchor="/multilink/70606186/paragraph/30/number/0" w:history="1">
        <w:r w:rsidR="00007215" w:rsidRPr="002B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лицевой стороны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бланка приложения указываются с выравниванием по центру следующие сведения: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после строк, содержащих надпись "к аттестату об основном общем образовании" </w:t>
      </w:r>
      <w:r w:rsidR="002B42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отдельной строке - нумерация бланка аттестата;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В левой части </w:t>
      </w:r>
      <w:hyperlink r:id="rId18" w:anchor="/multilink/70606186/paragraph/36/number/0" w:history="1">
        <w:r w:rsidR="00007215" w:rsidRPr="002B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лицевой стороны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бланка приложения указываются следующие сведения: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.3. В левой и правой 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частях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19" w:anchor="/multilink/70606186/paragraph/42/number/0" w:history="1">
        <w:r w:rsidR="00007215" w:rsidRPr="002B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оборотной стороны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Информатика и ИКТ - Информатика;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Физическая культура - Физкультура;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Мировая художественная культура - МХК;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ИЗО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Основы безопасности жизнедеятельности - ОБЖ.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изучавшемуся</w:t>
      </w:r>
      <w:proofErr w:type="spell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..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Выпускникам, освоившим основные образовательные программы основного общего </w:t>
      </w:r>
      <w:r w:rsidR="00EE5C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</w:t>
      </w:r>
      <w:r w:rsidR="00EE5C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всем учебным предметам инвариантной части базисного учебного плана.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удовл</w:t>
      </w:r>
      <w:proofErr w:type="spell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.).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Форма получения образования в </w:t>
      </w:r>
      <w:hyperlink r:id="rId20" w:anchor="/multilink/70606186/paragraph/62/number/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аттестатах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21" w:anchor="/multilink/70606186/paragraph/62/number/1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приложениях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ним не указывается.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Подписи руководителя организации, осуществляющей образовательную деятельность, на </w:t>
      </w:r>
      <w:hyperlink r:id="rId22" w:anchor="/multilink/70606186/paragraph/64/number/0" w:history="1">
        <w:r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аттестате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23" w:anchor="/multilink/70606186/paragraph/64/number/1" w:history="1">
        <w:r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нему должны быть идентичными.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007215" w:rsidRPr="00007215" w:rsidRDefault="007C2CEC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24" w:anchor="/multilink/70606186/paragraph/66/number/0" w:history="1">
        <w:proofErr w:type="gramStart"/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25" w:anchor="/multilink/70606186/paragraph/66/number/1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9666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Заполнение дубликатов аттестатов и приложений к ним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Дубликаты аттестата и приложения к нему (далее - дубликат) заполняются в соответствии 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26" w:anchor="/document/70606186/entry/1003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3-9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дубликате аттестата после фамилии, имени, отчества (при наличии) выпускника указываются год окончания и наименование в соответствии с </w:t>
      </w:r>
      <w:hyperlink r:id="rId27" w:anchor="/document/70606186/entry/10423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в) пункта 4.2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Порядка той организации, осуществляющей образовательную деятельность, которую окончил выпускник.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5.4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Учет бланков аттестатов и приложений к ним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6.3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Для учета выданных </w:t>
      </w:r>
      <w:hyperlink r:id="rId28" w:anchor="/multilink/70606186/paragraph/79/number/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аттестатов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anchor="/multilink/70606186/paragraph/79/number/1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приложений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учетной записи (по порядку);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дату рождения выпускника;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обнаружении ошибок, допущенных при заполнении </w:t>
      </w:r>
      <w:hyperlink r:id="rId30" w:anchor="/multilink/70606186/paragraph/91/number/0" w:history="1">
        <w:r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или одного из </w:t>
      </w:r>
      <w:hyperlink r:id="rId31" w:anchor="/multilink/70606186/paragraph/91/number/1" w:history="1">
        <w:r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приложений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CC0816" w:rsidRDefault="00CC081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C0816" w:rsidRDefault="00CC081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C0816" w:rsidRPr="00007215" w:rsidRDefault="00CC081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CC0816" w:rsidRDefault="00966636" w:rsidP="00CC0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Выдача аттестатов и приложений к ним</w:t>
      </w:r>
    </w:p>
    <w:p w:rsidR="00CC0816" w:rsidRDefault="00966636" w:rsidP="00CC081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2" w:anchor="/document/70472814/entry/100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основном общем образовании и </w:t>
      </w:r>
      <w:hyperlink r:id="rId33" w:anchor="/document/70472814/entry/200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к нему выдаются лицам, завершившим 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007215" w:rsidRPr="00007215" w:rsidRDefault="007C2CEC" w:rsidP="00CC081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34" w:anchor="/document/70472814/entry/100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основном общем образовании с отличием и </w:t>
      </w:r>
      <w:hyperlink r:id="rId35" w:anchor="/document/70472814/entry/200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</w:t>
      </w:r>
      <w:r w:rsidR="007E1AB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End"/>
      <w:r w:rsidR="007E1AB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набравшим по сдаваемым учебным предметам минимальное количество первичных баллов</w:t>
      </w:r>
      <w:r w:rsidR="00A51A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определённое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r w:rsidR="00A51A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изучавшимся</w:t>
      </w:r>
      <w:proofErr w:type="spell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уровне основного общего образования.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36" w:anchor="/multilink/70606186/paragraph/102/number/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Аттестаты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7" w:anchor="/multilink/70606186/paragraph/102/number/1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к ним выдаются выпускникам 9 </w:t>
      </w:r>
      <w:r w:rsidR="00EE5C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07215" w:rsidRPr="00007215" w:rsidRDefault="007C2CEC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38" w:anchor="/multilink/70606186/paragraph/103/number/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Аттестаты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9" w:anchor="/multilink/70606186/paragraph/103/number/1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ним выдаются не позднее десяти дней после даты издания распорядительного акта об отчислении выпускников.</w:t>
      </w:r>
    </w:p>
    <w:p w:rsidR="00007215" w:rsidRPr="00007215" w:rsidRDefault="00966636" w:rsidP="00EE5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Дубликат аттестата и дубликат приложения к аттестату выдаются:</w:t>
      </w:r>
    </w:p>
    <w:p w:rsidR="00007215" w:rsidRPr="00007215" w:rsidRDefault="00007215" w:rsidP="00EE5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007215" w:rsidRPr="00007215" w:rsidRDefault="00007215" w:rsidP="00EE5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лицу, изменившему свою фамилию (имя, отчество).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 случае утраты (повреждения) только </w:t>
      </w:r>
      <w:hyperlink r:id="rId40" w:anchor="/multilink/70606186/paragraph/108/number/0" w:history="1"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утраты (повреждения) только </w:t>
      </w:r>
      <w:hyperlink r:id="rId41" w:anchor="/multilink/70606186/paragraph/109/number/0" w:history="1">
        <w:r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5. </w:t>
      </w:r>
      <w:hyperlink r:id="rId42" w:anchor="/multilink/70606186/paragraph/110/number/0" w:history="1">
        <w:proofErr w:type="gramStart"/>
        <w:r w:rsidR="00007215" w:rsidRPr="00EE5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 </w:t>
      </w:r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утрате </w:t>
      </w:r>
      <w:hyperlink r:id="rId43" w:anchor="/multilink/70606186/paragraph/112/number/0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</w:t>
        </w:r>
      </w:hyperlink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44" w:anchor="/multilink/70606186/paragraph/112/number/1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 </w:t>
      </w:r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 </w:t>
      </w:r>
      <w:hyperlink r:id="rId45" w:anchor="/multilink/70606186/paragraph/113/number/0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</w:t>
        </w:r>
      </w:hyperlink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(или) </w:t>
      </w:r>
      <w:hyperlink r:id="rId46" w:anchor="/multilink/70606186/paragraph/113/number/1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Дубликаты аттестата и приложения к нему оформляются на бланках </w:t>
      </w:r>
      <w:hyperlink r:id="rId47" w:anchor="/multilink/70606186/paragraph/120/number/0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аттестата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8" w:anchor="/multilink/70606186/paragraph/120/number/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07215" w:rsidRPr="00007215" w:rsidRDefault="00966636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7.10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proofErr w:type="gramStart"/>
      <w:r w:rsidR="00E06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7215" w:rsidRPr="00007215" w:rsidRDefault="00966636" w:rsidP="0000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Заполнение и выдача аттестатов об основном общем </w:t>
      </w:r>
      <w:r w:rsidR="00E0657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007215" w:rsidRPr="00007215" w:rsidRDefault="00FA6438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</w:t>
      </w:r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9" w:anchor="/document/70648732/entry/313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 части 1 статьи 3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5 мая 2014 г. N 84-ФЗ "Об особенностях правового регулирования отношений в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r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в) лицам, не завершившим </w:t>
      </w: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007215" w:rsidRPr="00007215" w:rsidRDefault="00FA6438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Лицам, указанным в </w:t>
      </w:r>
      <w:hyperlink r:id="rId50" w:anchor="/document/70606186/entry/131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"а" пункта </w:t>
        </w:r>
        <w:r w:rsid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выдаются аттестаты:</w:t>
      </w:r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007215" w:rsidRPr="00007215" w:rsidRDefault="00007215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Аттестаты выдаются лицам, указанным в </w:t>
      </w:r>
      <w:hyperlink r:id="rId51" w:anchor="/document/70606186/entry/1311" w:history="1"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"а" пункта </w:t>
        </w:r>
        <w:r w:rsid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</w:t>
      </w:r>
    </w:p>
    <w:p w:rsidR="00007215" w:rsidRPr="00007215" w:rsidRDefault="00FA6438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A298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07215" w:rsidRPr="009A29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Лицам, указанным в </w:t>
      </w:r>
      <w:hyperlink r:id="rId52" w:anchor="/document/70606186/entry/1312" w:history="1">
        <w:r w:rsidR="00007215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"б"</w:t>
        </w:r>
      </w:hyperlink>
      <w:r w:rsidR="00007215" w:rsidRPr="009A2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3" w:anchor="/document/70606186/entry/1313" w:history="1">
        <w:r w:rsidR="00007215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"в" пункта </w:t>
        </w:r>
        <w:r w:rsidR="009A298E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="00007215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007215" w:rsidRPr="009A2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выдаются аттестаты, указанные в </w:t>
      </w:r>
      <w:hyperlink r:id="rId54" w:anchor="/document/70606186/entry/1021" w:history="1">
        <w:r w:rsidR="00007215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пункте </w:t>
        </w:r>
        <w:r w:rsidR="009A298E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</w:t>
        </w:r>
        <w:r w:rsidR="00007215" w:rsidRPr="009A29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настоящего Порядка, в соответствии с пунктом </w:t>
      </w:r>
      <w:r w:rsidR="009A29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 настоящего Порядка.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Бланки аттестатов и приложений к ним, выдаваемые лицам, указанным в </w:t>
      </w:r>
      <w:hyperlink r:id="rId55" w:anchor="/document/70606186/entry/103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8.</w:t>
        </w:r>
        <w:r w:rsidR="00007215" w:rsidRPr="00DB2C80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1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заполняются в соответствии с настоящим Порядком с учетом положений, установленных </w:t>
      </w:r>
      <w:hyperlink r:id="rId56" w:anchor="/document/70606186/entry/1035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5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</w:t>
        </w:r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 </w:t>
      </w:r>
      <w:hyperlink r:id="rId57" w:anchor="/document/70606186/entry/103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31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В случае отсутствия в документе об обучении или 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документе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Аттестат об основном общем образовании с отличием, </w:t>
      </w:r>
      <w:r w:rsidR="00E0657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выдаются в соответствии 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8" w:anchor="/document/70606186/entry/102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21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</w:t>
      </w:r>
      <w:r w:rsidR="00E0657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выда</w:t>
      </w:r>
      <w:r w:rsidR="00E0657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ё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тся.</w:t>
      </w:r>
    </w:p>
    <w:p w:rsidR="00007215" w:rsidRPr="00007215" w:rsidRDefault="009A298E" w:rsidP="0000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При отсутств</w:t>
      </w:r>
      <w:proofErr w:type="gramStart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ии у о</w:t>
      </w:r>
      <w:proofErr w:type="gramEnd"/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007215" w:rsidRPr="00007215" w:rsidRDefault="009A298E" w:rsidP="00E06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8.1</w:t>
      </w:r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0. Положения настоящей главы распространяются на заполнение дубликатов, выдаваемых лицам, указанным </w:t>
      </w:r>
      <w:r w:rsidR="00007215" w:rsidRPr="000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9" w:anchor="/document/70606186/entry/1031" w:history="1"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</w:t>
        </w:r>
        <w:r w:rsidR="00007215" w:rsidRPr="00E065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007215" w:rsidRPr="000072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6A63B5" w:rsidRPr="00DB2C80" w:rsidRDefault="007C2CEC">
      <w:pPr>
        <w:rPr>
          <w:rFonts w:ascii="Times New Roman" w:hAnsi="Times New Roman" w:cs="Times New Roman"/>
          <w:sz w:val="24"/>
          <w:szCs w:val="24"/>
        </w:rPr>
      </w:pPr>
    </w:p>
    <w:sectPr w:rsidR="006A63B5" w:rsidRPr="00D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9A7"/>
    <w:multiLevelType w:val="hybridMultilevel"/>
    <w:tmpl w:val="8E46A1CC"/>
    <w:lvl w:ilvl="0" w:tplc="3B4C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0A2"/>
    <w:multiLevelType w:val="hybridMultilevel"/>
    <w:tmpl w:val="BA167442"/>
    <w:lvl w:ilvl="0" w:tplc="3368A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15"/>
    <w:rsid w:val="00007215"/>
    <w:rsid w:val="000D3193"/>
    <w:rsid w:val="002B4283"/>
    <w:rsid w:val="00457953"/>
    <w:rsid w:val="00474EDC"/>
    <w:rsid w:val="005959BC"/>
    <w:rsid w:val="005C135C"/>
    <w:rsid w:val="00726972"/>
    <w:rsid w:val="007C2CEC"/>
    <w:rsid w:val="007E1AB1"/>
    <w:rsid w:val="00966636"/>
    <w:rsid w:val="009A298E"/>
    <w:rsid w:val="00A51A57"/>
    <w:rsid w:val="00BA1022"/>
    <w:rsid w:val="00C71B2A"/>
    <w:rsid w:val="00CC0816"/>
    <w:rsid w:val="00D0252F"/>
    <w:rsid w:val="00DB2C80"/>
    <w:rsid w:val="00E0657F"/>
    <w:rsid w:val="00E976FB"/>
    <w:rsid w:val="00EE5CA7"/>
    <w:rsid w:val="00F11A47"/>
    <w:rsid w:val="00F51683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19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8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00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0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8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108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6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12</cp:revision>
  <cp:lastPrinted>2020-01-15T12:21:00Z</cp:lastPrinted>
  <dcterms:created xsi:type="dcterms:W3CDTF">2018-09-13T05:25:00Z</dcterms:created>
  <dcterms:modified xsi:type="dcterms:W3CDTF">2020-01-19T13:49:00Z</dcterms:modified>
</cp:coreProperties>
</file>